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44"/>
          <w:szCs w:val="44"/>
        </w:rPr>
      </w:pPr>
      <w:r>
        <w:rPr>
          <w:rFonts w:hint="eastAsia" w:ascii="宋体" w:hAnsi="宋体" w:eastAsia="宋体"/>
          <w:b/>
          <w:bCs/>
          <w:sz w:val="44"/>
          <w:szCs w:val="44"/>
        </w:rPr>
        <w:t>上饶市</w:t>
      </w:r>
      <w:r>
        <w:rPr>
          <w:rFonts w:hint="eastAsia" w:ascii="宋体" w:hAnsi="宋体" w:eastAsia="宋体"/>
          <w:b/>
          <w:bCs/>
          <w:sz w:val="44"/>
          <w:szCs w:val="44"/>
          <w:lang w:eastAsia="zh-CN"/>
        </w:rPr>
        <w:t>地质灾害危险性评估</w:t>
      </w:r>
      <w:r>
        <w:rPr>
          <w:rFonts w:hint="eastAsia" w:ascii="宋体" w:hAnsi="宋体" w:eastAsia="宋体"/>
          <w:b/>
          <w:bCs/>
          <w:sz w:val="44"/>
          <w:szCs w:val="44"/>
        </w:rPr>
        <w:t>成果应用指南</w:t>
      </w:r>
      <w:r>
        <w:rPr>
          <w:rFonts w:hint="eastAsia" w:ascii="宋体" w:hAnsi="宋体" w:eastAsia="宋体"/>
          <w:b/>
          <w:bCs/>
          <w:sz w:val="44"/>
          <w:szCs w:val="44"/>
          <w:lang w:val="en-US" w:eastAsia="zh-CN"/>
        </w:rPr>
        <w:t>(试行)</w:t>
      </w:r>
    </w:p>
    <w:p>
      <w:pPr>
        <w:jc w:val="center"/>
        <w:rPr>
          <w:rFonts w:hint="eastAsia" w:ascii="宋体" w:hAnsi="宋体" w:eastAsia="宋体"/>
          <w:b/>
          <w:bCs/>
          <w:sz w:val="44"/>
          <w:szCs w:val="44"/>
          <w:lang w:val="en-US" w:eastAsia="zh-CN"/>
        </w:rPr>
      </w:pPr>
    </w:p>
    <w:p>
      <w:pPr>
        <w:keepNext w:val="0"/>
        <w:keepLines w:val="0"/>
        <w:pageBreakBefore w:val="0"/>
        <w:widowControl w:val="0"/>
        <w:kinsoku/>
        <w:wordWrap/>
        <w:overflowPunct/>
        <w:topLinePunct w:val="0"/>
        <w:autoSpaceDE/>
        <w:autoSpaceDN/>
        <w:bidi w:val="0"/>
        <w:snapToGrid/>
        <w:spacing w:line="360" w:lineRule="auto"/>
        <w:ind w:firstLine="642" w:firstLineChars="200"/>
        <w:jc w:val="left"/>
        <w:rPr>
          <w:rFonts w:hint="eastAsia" w:ascii="仿宋_GB2312" w:hAnsi="仿宋_GB2312" w:eastAsia="仿宋_GB2312"/>
          <w:b/>
          <w:bCs/>
          <w:sz w:val="32"/>
          <w:szCs w:val="32"/>
        </w:rPr>
      </w:pPr>
      <w:r>
        <w:rPr>
          <w:rFonts w:hint="eastAsia" w:ascii="仿宋_GB2312" w:hAnsi="仿宋_GB2312" w:eastAsia="仿宋_GB2312"/>
          <w:b/>
          <w:bCs/>
          <w:sz w:val="32"/>
          <w:szCs w:val="32"/>
        </w:rPr>
        <w:t>一、适用范围</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位于</w:t>
      </w:r>
      <w:r>
        <w:rPr>
          <w:rFonts w:hint="eastAsia" w:ascii="仿宋_GB2312" w:hAnsi="仿宋_GB2312" w:eastAsia="仿宋_GB2312"/>
          <w:sz w:val="32"/>
          <w:szCs w:val="32"/>
          <w:lang w:eastAsia="zh-CN"/>
        </w:rPr>
        <w:t>上饶市辖区内地质灾害易发区</w:t>
      </w:r>
      <w:r>
        <w:rPr>
          <w:rFonts w:hint="eastAsia" w:ascii="仿宋_GB2312" w:hAnsi="仿宋_GB2312" w:eastAsia="仿宋_GB2312"/>
          <w:sz w:val="32"/>
          <w:szCs w:val="32"/>
        </w:rPr>
        <w:t>区块内,除负面清单以外的建设项目,共享地质灾害危险性评估成果。</w:t>
      </w:r>
    </w:p>
    <w:p>
      <w:pPr>
        <w:keepNext w:val="0"/>
        <w:keepLines w:val="0"/>
        <w:pageBreakBefore w:val="0"/>
        <w:widowControl w:val="0"/>
        <w:kinsoku/>
        <w:wordWrap/>
        <w:overflowPunct/>
        <w:topLinePunct w:val="0"/>
        <w:autoSpaceDE/>
        <w:autoSpaceDN/>
        <w:bidi w:val="0"/>
        <w:snapToGrid/>
        <w:spacing w:line="360" w:lineRule="auto"/>
        <w:ind w:firstLine="642" w:firstLineChars="200"/>
        <w:jc w:val="left"/>
        <w:rPr>
          <w:rFonts w:hint="eastAsia" w:ascii="仿宋_GB2312" w:hAnsi="仿宋_GB2312" w:eastAsia="仿宋_GB2312"/>
          <w:b/>
          <w:bCs/>
          <w:sz w:val="32"/>
          <w:szCs w:val="32"/>
        </w:rPr>
      </w:pPr>
      <w:r>
        <w:rPr>
          <w:rFonts w:hint="eastAsia" w:ascii="仿宋_GB2312" w:hAnsi="仿宋_GB2312" w:eastAsia="仿宋_GB2312"/>
          <w:b/>
          <w:bCs/>
          <w:sz w:val="32"/>
          <w:szCs w:val="32"/>
        </w:rPr>
        <w:t>二、查询方式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u w:val="none"/>
          <w:lang w:val="en-US" w:eastAsia="zh-CN"/>
        </w:rPr>
      </w:pPr>
      <w:r>
        <w:rPr>
          <w:rFonts w:hint="eastAsia" w:ascii="仿宋_GB2312" w:hAnsi="仿宋_GB2312" w:eastAsia="仿宋_GB2312"/>
          <w:sz w:val="32"/>
          <w:szCs w:val="32"/>
        </w:rPr>
        <w:t>区域地质灾害危险性评估</w:t>
      </w:r>
      <w:r>
        <w:rPr>
          <w:rFonts w:hint="eastAsia" w:ascii="仿宋" w:hAnsi="仿宋" w:eastAsia="仿宋" w:cs="仿宋"/>
          <w:b w:val="0"/>
          <w:bCs w:val="0"/>
          <w:sz w:val="32"/>
          <w:szCs w:val="32"/>
          <w:u w:val="none"/>
          <w:lang w:val="en-US" w:eastAsia="zh-CN"/>
        </w:rPr>
        <w:t>成果可到各个园区的管委会进行查询。</w:t>
      </w:r>
    </w:p>
    <w:p>
      <w:pPr>
        <w:keepNext w:val="0"/>
        <w:keepLines w:val="0"/>
        <w:pageBreakBefore w:val="0"/>
        <w:widowControl w:val="0"/>
        <w:kinsoku/>
        <w:wordWrap/>
        <w:overflowPunct/>
        <w:topLinePunct w:val="0"/>
        <w:autoSpaceDE/>
        <w:autoSpaceDN/>
        <w:bidi w:val="0"/>
        <w:snapToGrid/>
        <w:spacing w:line="360" w:lineRule="auto"/>
        <w:ind w:firstLine="642" w:firstLineChars="200"/>
        <w:jc w:val="left"/>
        <w:rPr>
          <w:rFonts w:hint="eastAsia" w:ascii="仿宋_GB2312" w:hAnsi="仿宋_GB2312" w:eastAsia="仿宋_GB2312"/>
          <w:b/>
          <w:bCs/>
          <w:sz w:val="32"/>
          <w:szCs w:val="32"/>
        </w:rPr>
      </w:pPr>
      <w:bookmarkStart w:id="0" w:name="_GoBack"/>
      <w:bookmarkEnd w:id="0"/>
      <w:r>
        <w:rPr>
          <w:rFonts w:hint="eastAsia" w:ascii="仿宋_GB2312" w:hAnsi="仿宋_GB2312" w:eastAsia="仿宋_GB2312"/>
          <w:b/>
          <w:bCs/>
          <w:sz w:val="32"/>
          <w:szCs w:val="32"/>
        </w:rPr>
        <w:t>三、使用方法</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上饶市辖区内</w:t>
      </w:r>
      <w:r>
        <w:rPr>
          <w:rFonts w:hint="eastAsia" w:ascii="仿宋_GB2312" w:hAnsi="仿宋_GB2312" w:eastAsia="仿宋_GB2312"/>
          <w:sz w:val="32"/>
          <w:szCs w:val="32"/>
        </w:rPr>
        <w:t>地质灾害易发区区块内的建设项目。项目建设单位应与地质灾害易发区地质灾害防治主管部门签署地质灾害防治承诺书(详见附件 1),落实地质灾害防治措施与责任。</w:t>
      </w:r>
    </w:p>
    <w:p>
      <w:pPr>
        <w:keepNext w:val="0"/>
        <w:keepLines w:val="0"/>
        <w:pageBreakBefore w:val="0"/>
        <w:widowControl w:val="0"/>
        <w:kinsoku/>
        <w:wordWrap/>
        <w:overflowPunct/>
        <w:topLinePunct w:val="0"/>
        <w:autoSpaceDE/>
        <w:autoSpaceDN/>
        <w:bidi w:val="0"/>
        <w:snapToGrid/>
        <w:spacing w:line="360" w:lineRule="auto"/>
        <w:ind w:firstLine="642" w:firstLineChars="200"/>
        <w:jc w:val="left"/>
        <w:rPr>
          <w:rFonts w:hint="eastAsia" w:ascii="仿宋_GB2312" w:hAnsi="仿宋_GB2312" w:eastAsia="仿宋_GB2312"/>
          <w:b/>
          <w:bCs/>
          <w:sz w:val="32"/>
          <w:szCs w:val="32"/>
        </w:rPr>
      </w:pPr>
      <w:r>
        <w:rPr>
          <w:rFonts w:hint="eastAsia" w:ascii="仿宋_GB2312" w:hAnsi="仿宋_GB2312" w:eastAsia="仿宋_GB2312"/>
          <w:b/>
          <w:bCs/>
          <w:sz w:val="32"/>
          <w:szCs w:val="32"/>
        </w:rPr>
        <w:t>四、负面清单项目</w:t>
      </w:r>
    </w:p>
    <w:p>
      <w:pPr>
        <w:keepNext w:val="0"/>
        <w:keepLines w:val="0"/>
        <w:pageBreakBefore w:val="0"/>
        <w:widowControl w:val="0"/>
        <w:kinsoku/>
        <w:wordWrap/>
        <w:overflowPunct/>
        <w:topLinePunct w:val="0"/>
        <w:autoSpaceDE/>
        <w:autoSpaceDN/>
        <w:bidi w:val="0"/>
        <w:snapToGrid/>
        <w:spacing w:line="360" w:lineRule="auto"/>
        <w:ind w:firstLine="642" w:firstLineChars="200"/>
        <w:jc w:val="left"/>
        <w:rPr>
          <w:rFonts w:hint="eastAsia" w:ascii="仿宋_GB2312" w:hAnsi="仿宋_GB2312" w:eastAsia="仿宋_GB2312"/>
          <w:b/>
          <w:bCs/>
          <w:sz w:val="32"/>
          <w:szCs w:val="32"/>
        </w:rPr>
      </w:pPr>
      <w:r>
        <w:rPr>
          <w:rFonts w:hint="eastAsia" w:ascii="仿宋_GB2312" w:hAnsi="仿宋_GB2312" w:eastAsia="仿宋_GB2312"/>
          <w:b/>
          <w:bCs/>
          <w:sz w:val="32"/>
          <w:szCs w:val="32"/>
        </w:rPr>
        <w:t>(一)属于负面清单的项目</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地质灾害危险性区域评估事项审批负面清单主要包括:</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1.抽排岩溶地区地下水项目;</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2.重要线状工程(铁路、轻轨地铁、高速公路、一级公路、高架路、隧道工程、油气管线等);</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3.航空建设工程、特大桥工程、1000 吨级以上港口工程和航运(电)枢纽工程;</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4.对环境具有较大影响的重化工项目、垃圾填埋场项目、液(气)罐站场项目等;</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5.地质灾害防治主管部门认为需要单独进行地质灾害危险性评估的其它建设项目。</w:t>
      </w:r>
    </w:p>
    <w:p>
      <w:pPr>
        <w:keepNext w:val="0"/>
        <w:keepLines w:val="0"/>
        <w:pageBreakBefore w:val="0"/>
        <w:widowControl w:val="0"/>
        <w:kinsoku/>
        <w:wordWrap/>
        <w:overflowPunct/>
        <w:topLinePunct w:val="0"/>
        <w:autoSpaceDE/>
        <w:autoSpaceDN/>
        <w:bidi w:val="0"/>
        <w:snapToGrid/>
        <w:spacing w:line="360" w:lineRule="auto"/>
        <w:ind w:firstLine="642" w:firstLineChars="200"/>
        <w:jc w:val="left"/>
        <w:rPr>
          <w:rFonts w:hint="eastAsia" w:ascii="仿宋_GB2312" w:hAnsi="仿宋_GB2312" w:eastAsia="仿宋_GB2312"/>
          <w:b/>
          <w:bCs/>
          <w:sz w:val="32"/>
          <w:szCs w:val="32"/>
        </w:rPr>
      </w:pPr>
      <w:r>
        <w:rPr>
          <w:rFonts w:hint="eastAsia" w:ascii="仿宋_GB2312" w:hAnsi="仿宋_GB2312" w:eastAsia="仿宋_GB2312"/>
          <w:b/>
          <w:bCs/>
          <w:sz w:val="32"/>
          <w:szCs w:val="32"/>
        </w:rPr>
        <w:t>(二)负面清单项目的评估</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属于负面清单的建设项目应单独开展地质灾害危险性评估,程序是:项目建设单位委托地质灾害危险性评估资质单位编制《地质灾害危险性评估报告》,经专家审查通过后即可使用。</w:t>
      </w: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rPr>
        <w:sectPr>
          <w:pgSz w:w="11906" w:h="16838"/>
          <w:pgMar w:top="1440" w:right="1800" w:bottom="1440" w:left="1800" w:header="851" w:footer="992" w:gutter="0"/>
          <w:cols w:space="720" w:num="1"/>
          <w:docGrid w:type="lines" w:linePitch="312" w:charSpace="0"/>
        </w:sectPr>
      </w:pPr>
    </w:p>
    <w:p>
      <w:pPr>
        <w:jc w:val="left"/>
        <w:rPr>
          <w:rFonts w:hint="eastAsia" w:ascii="黑体" w:hAnsi="黑体" w:eastAsia="黑体"/>
          <w:bCs/>
          <w:sz w:val="32"/>
          <w:szCs w:val="32"/>
          <w:lang w:eastAsia="zh-CN"/>
        </w:rPr>
      </w:pPr>
      <w:r>
        <w:rPr>
          <w:rFonts w:hint="eastAsia" w:ascii="黑体" w:hAnsi="黑体" w:eastAsia="黑体"/>
          <w:bCs/>
          <w:sz w:val="32"/>
          <w:szCs w:val="32"/>
          <w:lang w:eastAsia="zh-CN"/>
        </w:rPr>
        <w:t>附件</w:t>
      </w:r>
      <w:r>
        <w:rPr>
          <w:rFonts w:hint="eastAsia" w:ascii="黑体" w:hAnsi="黑体" w:eastAsia="黑体"/>
          <w:bCs/>
          <w:sz w:val="32"/>
          <w:szCs w:val="32"/>
          <w:lang w:val="en-US" w:eastAsia="zh-CN"/>
        </w:rPr>
        <w:t>1</w:t>
      </w:r>
    </w:p>
    <w:p>
      <w:pPr>
        <w:jc w:val="center"/>
        <w:rPr>
          <w:rFonts w:hint="eastAsia" w:ascii="方正小标宋简体" w:hAnsi="方正小标宋简体" w:eastAsia="方正小标宋简体"/>
          <w:bCs/>
          <w:sz w:val="36"/>
          <w:szCs w:val="36"/>
        </w:rPr>
      </w:pPr>
      <w:r>
        <w:rPr>
          <w:rFonts w:hint="eastAsia" w:ascii="方正小标宋简体" w:hAnsi="方正小标宋简体" w:eastAsia="方正小标宋简体"/>
          <w:bCs/>
          <w:sz w:val="36"/>
          <w:szCs w:val="36"/>
        </w:rPr>
        <w:t>建设项目地质灾害防治工作承诺书</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0"/>
        <w:gridCol w:w="7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0" w:type="dxa"/>
            <w:vAlign w:val="center"/>
          </w:tcPr>
          <w:p>
            <w:pPr>
              <w:snapToGrid w:val="0"/>
              <w:jc w:val="distribute"/>
              <w:rPr>
                <w:rFonts w:hint="eastAsia" w:ascii="仿宋_GB2312" w:hAnsi="仿宋_GB2312" w:eastAsia="仿宋_GB2312"/>
                <w:b/>
                <w:bCs/>
                <w:sz w:val="28"/>
                <w:szCs w:val="28"/>
              </w:rPr>
            </w:pPr>
            <w:r>
              <w:rPr>
                <w:rFonts w:hint="eastAsia" w:ascii="仿宋_GB2312" w:hAnsi="仿宋_GB2312" w:eastAsia="仿宋_GB2312"/>
                <w:b/>
                <w:bCs/>
                <w:sz w:val="28"/>
                <w:szCs w:val="28"/>
              </w:rPr>
              <w:t>承诺单位</w:t>
            </w:r>
          </w:p>
        </w:tc>
        <w:tc>
          <w:tcPr>
            <w:tcW w:w="7232" w:type="dxa"/>
            <w:vAlign w:val="center"/>
          </w:tcPr>
          <w:p>
            <w:pPr>
              <w:snapToGrid w:val="0"/>
              <w:rPr>
                <w:rFonts w:ascii="仿宋_GB2312" w:hAnsi="仿宋_GB2312"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0" w:type="dxa"/>
            <w:vAlign w:val="center"/>
          </w:tcPr>
          <w:p>
            <w:pPr>
              <w:snapToGrid w:val="0"/>
              <w:jc w:val="distribute"/>
              <w:rPr>
                <w:rFonts w:hint="eastAsia" w:ascii="仿宋_GB2312" w:hAnsi="仿宋_GB2312" w:eastAsia="仿宋_GB2312"/>
                <w:b/>
                <w:sz w:val="28"/>
                <w:szCs w:val="28"/>
              </w:rPr>
            </w:pPr>
            <w:r>
              <w:rPr>
                <w:rFonts w:hint="eastAsia" w:ascii="仿宋_GB2312" w:hAnsi="仿宋_GB2312" w:eastAsia="仿宋_GB2312"/>
                <w:b/>
                <w:sz w:val="28"/>
                <w:szCs w:val="28"/>
              </w:rPr>
              <w:t>项目名称</w:t>
            </w:r>
          </w:p>
        </w:tc>
        <w:tc>
          <w:tcPr>
            <w:tcW w:w="7232" w:type="dxa"/>
            <w:vAlign w:val="center"/>
          </w:tcPr>
          <w:p>
            <w:pPr>
              <w:snapToGrid w:val="0"/>
              <w:rPr>
                <w:rFonts w:ascii="仿宋_GB2312" w:hAnsi="仿宋_GB2312"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0" w:type="dxa"/>
            <w:vAlign w:val="center"/>
          </w:tcPr>
          <w:p>
            <w:pPr>
              <w:snapToGrid w:val="0"/>
              <w:jc w:val="distribute"/>
              <w:rPr>
                <w:rFonts w:hint="eastAsia" w:ascii="仿宋_GB2312" w:hAnsi="仿宋_GB2312" w:eastAsia="仿宋_GB2312"/>
                <w:b/>
                <w:sz w:val="28"/>
                <w:szCs w:val="28"/>
              </w:rPr>
            </w:pPr>
            <w:r>
              <w:rPr>
                <w:rFonts w:hint="eastAsia" w:ascii="仿宋_GB2312" w:hAnsi="仿宋_GB2312" w:eastAsia="仿宋_GB2312"/>
                <w:b/>
                <w:sz w:val="28"/>
                <w:szCs w:val="28"/>
              </w:rPr>
              <w:t>功能区名称</w:t>
            </w:r>
          </w:p>
        </w:tc>
        <w:tc>
          <w:tcPr>
            <w:tcW w:w="7232" w:type="dxa"/>
            <w:vAlign w:val="center"/>
          </w:tcPr>
          <w:p>
            <w:pPr>
              <w:snapToGrid w:val="0"/>
              <w:rPr>
                <w:rFonts w:ascii="仿宋_GB2312" w:hAnsi="仿宋_GB2312"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0" w:type="dxa"/>
            <w:vAlign w:val="center"/>
          </w:tcPr>
          <w:p>
            <w:pPr>
              <w:snapToGrid w:val="0"/>
              <w:jc w:val="distribute"/>
              <w:rPr>
                <w:rFonts w:hint="eastAsia" w:ascii="仿宋_GB2312" w:hAnsi="仿宋_GB2312" w:eastAsia="仿宋_GB2312"/>
                <w:b/>
                <w:sz w:val="28"/>
                <w:szCs w:val="28"/>
              </w:rPr>
            </w:pPr>
            <w:r>
              <w:rPr>
                <w:rFonts w:hint="eastAsia" w:ascii="仿宋_GB2312" w:hAnsi="仿宋_GB2312" w:eastAsia="仿宋_GB2312"/>
                <w:b/>
                <w:sz w:val="28"/>
                <w:szCs w:val="28"/>
              </w:rPr>
              <w:t>地理位置</w:t>
            </w:r>
          </w:p>
        </w:tc>
        <w:tc>
          <w:tcPr>
            <w:tcW w:w="7232" w:type="dxa"/>
            <w:vAlign w:val="center"/>
          </w:tcPr>
          <w:p>
            <w:pPr>
              <w:snapToGrid w:val="0"/>
              <w:rPr>
                <w:rFonts w:ascii="仿宋_GB2312" w:hAnsi="仿宋_GB2312"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5" w:hRule="atLeast"/>
        </w:trPr>
        <w:tc>
          <w:tcPr>
            <w:tcW w:w="1710" w:type="dxa"/>
            <w:vAlign w:val="center"/>
          </w:tcPr>
          <w:p>
            <w:pPr>
              <w:snapToGrid w:val="0"/>
              <w:jc w:val="distribute"/>
              <w:rPr>
                <w:rFonts w:hint="eastAsia" w:ascii="仿宋_GB2312" w:hAnsi="仿宋_GB2312" w:eastAsia="仿宋_GB2312"/>
                <w:b/>
                <w:sz w:val="28"/>
                <w:szCs w:val="28"/>
              </w:rPr>
            </w:pPr>
            <w:r>
              <w:rPr>
                <w:rFonts w:hint="eastAsia" w:ascii="仿宋_GB2312" w:hAnsi="仿宋_GB2312" w:eastAsia="仿宋_GB2312"/>
                <w:b/>
                <w:sz w:val="28"/>
                <w:szCs w:val="28"/>
              </w:rPr>
              <w:t>控 制 性</w:t>
            </w:r>
          </w:p>
          <w:p>
            <w:pPr>
              <w:snapToGrid w:val="0"/>
              <w:jc w:val="distribute"/>
              <w:rPr>
                <w:rFonts w:hint="eastAsia" w:ascii="仿宋_GB2312" w:hAnsi="仿宋_GB2312" w:eastAsia="仿宋_GB2312"/>
                <w:b/>
                <w:sz w:val="28"/>
                <w:szCs w:val="28"/>
              </w:rPr>
            </w:pPr>
            <w:r>
              <w:rPr>
                <w:rFonts w:hint="eastAsia" w:ascii="仿宋_GB2312" w:hAnsi="仿宋_GB2312" w:eastAsia="仿宋_GB2312"/>
                <w:b/>
                <w:sz w:val="28"/>
                <w:szCs w:val="28"/>
              </w:rPr>
              <w:t>拐点坐标</w:t>
            </w:r>
          </w:p>
        </w:tc>
        <w:tc>
          <w:tcPr>
            <w:tcW w:w="7232" w:type="dxa"/>
            <w:vAlign w:val="center"/>
          </w:tcPr>
          <w:p>
            <w:pPr>
              <w:snapToGrid w:val="0"/>
              <w:rPr>
                <w:rFonts w:hint="eastAsia" w:ascii="仿宋_GB2312" w:hAnsi="仿宋_GB2312" w:eastAsia="仿宋_GB2312"/>
                <w:sz w:val="28"/>
                <w:szCs w:val="28"/>
              </w:rPr>
            </w:pPr>
            <w:r>
              <w:rPr>
                <w:rFonts w:hint="eastAsia" w:ascii="仿宋_GB2312" w:hAnsi="仿宋_GB2312" w:eastAsia="仿宋_GB2312"/>
                <w:sz w:val="28"/>
                <w:szCs w:val="28"/>
              </w:rPr>
              <w:t>（采用2000国家大地坐标系和1985国家高程基准）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2" w:hRule="atLeast"/>
        </w:trPr>
        <w:tc>
          <w:tcPr>
            <w:tcW w:w="1710" w:type="dxa"/>
            <w:vAlign w:val="center"/>
          </w:tcPr>
          <w:p>
            <w:pPr>
              <w:snapToGrid w:val="0"/>
              <w:jc w:val="distribute"/>
              <w:rPr>
                <w:rFonts w:hint="eastAsia" w:ascii="仿宋_GB2312" w:hAnsi="仿宋_GB2312" w:eastAsia="仿宋_GB2312"/>
                <w:b/>
                <w:sz w:val="28"/>
                <w:szCs w:val="28"/>
              </w:rPr>
            </w:pPr>
            <w:r>
              <w:rPr>
                <w:rFonts w:hint="eastAsia" w:ascii="仿宋_GB2312" w:hAnsi="仿宋_GB2312" w:eastAsia="仿宋_GB2312"/>
                <w:b/>
                <w:sz w:val="28"/>
                <w:szCs w:val="28"/>
              </w:rPr>
              <w:t>地质灾害危险性区域评估查询结果</w:t>
            </w:r>
          </w:p>
        </w:tc>
        <w:tc>
          <w:tcPr>
            <w:tcW w:w="7232" w:type="dxa"/>
            <w:vAlign w:val="center"/>
          </w:tcPr>
          <w:p>
            <w:pPr>
              <w:snapToGrid w:val="0"/>
              <w:ind w:firstLine="480" w:firstLineChars="200"/>
              <w:rPr>
                <w:rFonts w:hint="eastAsia" w:ascii="仿宋_GB2312" w:hAnsi="仿宋_GB2312" w:eastAsia="仿宋_GB2312"/>
                <w:bCs/>
                <w:sz w:val="24"/>
                <w:szCs w:val="24"/>
              </w:rPr>
            </w:pPr>
            <w:r>
              <w:rPr>
                <w:rFonts w:hint="eastAsia" w:ascii="仿宋_GB2312" w:hAnsi="仿宋_GB2312" w:eastAsia="仿宋_GB2312"/>
                <w:bCs/>
                <w:sz w:val="24"/>
                <w:szCs w:val="24"/>
              </w:rPr>
              <w:t>本项目总用地面积公顷，据地质灾害危险性区域评估成果(评估项目备案号：)，本建设项目有公顷用地范围位于该功能区</w:t>
            </w:r>
            <w:r>
              <w:rPr>
                <w:rFonts w:hint="eastAsia"/>
                <w:bCs/>
                <w:i/>
                <w:iCs/>
                <w:sz w:val="24"/>
                <w:szCs w:val="24"/>
                <w:u w:val="single"/>
              </w:rPr>
              <w:t>（填写所涉及危险性区块编号）</w:t>
            </w:r>
            <w:r>
              <w:rPr>
                <w:rFonts w:hint="eastAsia" w:ascii="仿宋_GB2312" w:hAnsi="仿宋_GB2312" w:eastAsia="仿宋_GB2312"/>
                <w:bCs/>
                <w:sz w:val="24"/>
                <w:szCs w:val="24"/>
              </w:rPr>
              <w:t>地质灾害危险性大区，有公顷用地面积位于</w:t>
            </w:r>
            <w:r>
              <w:rPr>
                <w:rFonts w:hint="eastAsia"/>
                <w:bCs/>
                <w:i/>
                <w:iCs/>
                <w:sz w:val="24"/>
                <w:szCs w:val="24"/>
                <w:u w:val="single"/>
              </w:rPr>
              <w:t>（填写所涉及危险性区块编号）</w:t>
            </w:r>
            <w:r>
              <w:rPr>
                <w:rFonts w:hint="eastAsia" w:ascii="仿宋_GB2312" w:hAnsi="仿宋_GB2312" w:eastAsia="仿宋_GB2312"/>
                <w:bCs/>
                <w:sz w:val="24"/>
                <w:szCs w:val="24"/>
              </w:rPr>
              <w:t>地质灾害危险性中等区，有公顷用地面积位于地质灾害危险性小区。</w:t>
            </w:r>
          </w:p>
        </w:tc>
      </w:tr>
    </w:tbl>
    <w:p>
      <w:pPr>
        <w:pStyle w:val="6"/>
        <w:spacing w:after="0"/>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本单位承诺本建设项目将严格按照所在功能区的地质灾害危险性区域评估综合成果和相关法律法规要求，在进行工程建设的同时，配套实施地质灾害治理工程，认真落实有关地质灾害防治工作。</w:t>
      </w:r>
    </w:p>
    <w:p>
      <w:pPr>
        <w:pStyle w:val="6"/>
        <w:spacing w:after="0"/>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本单位已知晓违反承诺的后果，并愿意承担有关法律责任。</w:t>
      </w:r>
    </w:p>
    <w:p>
      <w:pPr>
        <w:pStyle w:val="6"/>
        <w:spacing w:after="0"/>
        <w:ind w:firstLine="200"/>
        <w:rPr>
          <w:b/>
          <w:bCs/>
          <w:sz w:val="28"/>
          <w:szCs w:val="28"/>
        </w:rPr>
      </w:pPr>
    </w:p>
    <w:p>
      <w:pPr>
        <w:pStyle w:val="6"/>
        <w:spacing w:after="0"/>
        <w:ind w:right="1050" w:rightChars="500" w:firstLine="198"/>
        <w:jc w:val="left"/>
        <w:rPr>
          <w:rFonts w:hint="eastAsia" w:ascii="仿宋_GB2312" w:hAnsi="仿宋_GB2312" w:eastAsia="仿宋_GB2312"/>
          <w:sz w:val="28"/>
          <w:szCs w:val="28"/>
        </w:rPr>
      </w:pPr>
      <w:r>
        <w:rPr>
          <w:rFonts w:hint="eastAsia" w:ascii="仿宋_GB2312" w:hAnsi="仿宋_GB2312" w:eastAsia="仿宋_GB2312"/>
          <w:sz w:val="28"/>
          <w:szCs w:val="28"/>
        </w:rPr>
        <w:t>承诺单位（盖章）</w:t>
      </w:r>
    </w:p>
    <w:p>
      <w:pPr>
        <w:pStyle w:val="6"/>
        <w:spacing w:after="0"/>
        <w:ind w:right="840" w:rightChars="400" w:firstLine="198"/>
        <w:jc w:val="left"/>
        <w:rPr>
          <w:rFonts w:hint="eastAsia" w:ascii="仿宋_GB2312" w:hAnsi="仿宋_GB2312" w:eastAsia="仿宋_GB2312"/>
          <w:sz w:val="28"/>
          <w:szCs w:val="28"/>
        </w:rPr>
      </w:pPr>
      <w:r>
        <w:rPr>
          <w:rFonts w:hint="eastAsia" w:ascii="仿宋_GB2312" w:hAnsi="仿宋_GB2312" w:eastAsia="仿宋_GB2312"/>
          <w:sz w:val="28"/>
          <w:szCs w:val="28"/>
        </w:rPr>
        <w:t>日期：    年  月  日</w:t>
      </w:r>
    </w:p>
    <w:p>
      <w:pPr>
        <w:pStyle w:val="6"/>
        <w:spacing w:after="0"/>
        <w:ind w:right="840" w:rightChars="400"/>
        <w:jc w:val="left"/>
        <w:rPr>
          <w:rFonts w:eastAsia="仿宋_GB2312"/>
          <w:kern w:val="0"/>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snapToGrid/>
        <w:spacing w:line="360" w:lineRule="auto"/>
        <w:ind w:firstLine="640" w:firstLineChars="2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pict>
          <v:shape id="_x0000_i1025" o:spt="75" alt="地质灾害附图" type="#_x0000_t75" style="height:554.2pt;width:695.15pt;" filled="f" o:preferrelative="t" stroked="f" coordsize="21600,21600">
            <v:path/>
            <v:fill on="f" focussize="0,0"/>
            <v:stroke on="f"/>
            <v:imagedata r:id="rId4" o:title="地质灾害附图"/>
            <o:lock v:ext="edit" aspectratio="t"/>
            <w10:wrap type="none"/>
            <w10:anchorlock/>
          </v:shape>
        </w:pic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rsids>
    <w:rsidRoot w:val="00000000"/>
    <w:rsid w:val="7E534267"/>
    <w:rsid w:val="DEB76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style>
  <w:style w:type="paragraph" w:customStyle="1" w:styleId="6">
    <w:name w:val="正文文本1"/>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2023-10-16T18:30:00Z</dcterms:created>
  <dc:creator>陈廷辉</dc:creator>
  <cp:lastModifiedBy>陈廷辉</cp:lastModifiedBy>
  <dcterms:modified xsi:type="dcterms:W3CDTF">2023-10-16T10:33:53Z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