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3120" w:hanging="3120" w:hangingChars="600"/>
        <w:jc w:val="both"/>
        <w:rPr>
          <w:rFonts w:hint="eastAsia" w:ascii="黑体" w:hAnsi="黑体" w:eastAsia="黑体"/>
          <w:sz w:val="52"/>
          <w:szCs w:val="52"/>
          <w:lang w:eastAsia="zh-CN"/>
        </w:rPr>
      </w:pPr>
      <w:r>
        <w:rPr>
          <w:rFonts w:hint="eastAsia" w:ascii="黑体" w:hAnsi="黑体" w:eastAsia="黑体"/>
          <w:sz w:val="52"/>
          <w:szCs w:val="52"/>
          <w:lang w:eastAsia="zh-CN"/>
        </w:rPr>
        <w:t>社会投资新增用地民用建筑类项目办事指南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.企业投资项目备案（或核准）</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.建设用地规划许可证核发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.涉及国家安全事项的建设项目审批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3844"/>
      <w:bookmarkStart w:id="1" w:name="_Toc28152"/>
    </w:p>
    <w:p>
      <w:pPr>
        <w:pStyle w:val="4"/>
        <w:bidi w:val="0"/>
        <w:jc w:val="both"/>
        <w:rPr>
          <w:rFonts w:hint="eastAsia" w:ascii="黑体" w:hAnsi="黑体" w:eastAsia="黑体" w:cs="黑体"/>
          <w:color w:val="auto"/>
          <w:sz w:val="32"/>
          <w:szCs w:val="32"/>
        </w:rPr>
      </w:pPr>
      <w:bookmarkStart w:id="2" w:name="_Toc27199"/>
      <w:bookmarkStart w:id="3" w:name="_Toc8019"/>
      <w:r>
        <w:rPr>
          <w:rFonts w:hint="eastAsia" w:ascii="黑体" w:hAnsi="黑体" w:eastAsia="黑体" w:cs="黑体"/>
          <w:sz w:val="32"/>
          <w:szCs w:val="32"/>
          <w:lang w:eastAsia="zh-CN"/>
        </w:rPr>
        <w:t>一、</w:t>
      </w:r>
      <w:r>
        <w:rPr>
          <w:rFonts w:hint="eastAsia" w:ascii="黑体" w:hAnsi="黑体" w:eastAsia="黑体" w:cs="黑体"/>
          <w:sz w:val="32"/>
          <w:szCs w:val="32"/>
        </w:rPr>
        <w:t>企业投资项目核准</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2"/>
        </w:numPr>
        <w:adjustRightInd w:val="0"/>
        <w:snapToGrid w:val="0"/>
        <w:spacing w:beforeLines="0" w:afterLines="0" w:line="336" w:lineRule="auto"/>
        <w:rPr>
          <w:rFonts w:hint="eastAsia" w:ascii="仿宋" w:hAnsi="仿宋" w:eastAsia="仿宋" w:cs="仿宋"/>
          <w:sz w:val="32"/>
          <w:szCs w:val="32"/>
          <w:lang w:val="en-US" w:eastAsia="zh-CN"/>
        </w:rPr>
      </w:pP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《企业投资项目核准和备案管理条例》（国务院令第 673号）第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《企业投资项目核准和备案管理办法》（国家发改委令第2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《江西省企业投资项目核准和备案管理办法》（省政府令 第 236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符合《企业投资项目核准和备案管理条例》（国务院令第673号）、《外商投资项目核准和备案管理办法》（国家发改委令2014年 第12号）的要求，申请材料齐全、符合法定形式，或者申请人按要求提交全部补充申请材料，即可办理。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20"/>
        <w:gridCol w:w="2536"/>
        <w:gridCol w:w="1609"/>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25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160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项目申请报告</w:t>
            </w:r>
          </w:p>
        </w:tc>
        <w:tc>
          <w:tcPr>
            <w:tcW w:w="25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c>
          <w:tcPr>
            <w:tcW w:w="160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r>
              <w:rPr>
                <w:rFonts w:hint="eastAsia" w:ascii="仿宋" w:hAnsi="仿宋" w:eastAsia="仿宋" w:cs="仿宋"/>
                <w:sz w:val="32"/>
                <w:szCs w:val="32"/>
                <w:lang w:eastAsia="zh-CN"/>
              </w:rPr>
              <w:t>）</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2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用地预审与选址意见书</w:t>
            </w:r>
          </w:p>
        </w:tc>
        <w:tc>
          <w:tcPr>
            <w:tcW w:w="253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适用于以划拨方式提供国有土地使用权的项目</w:t>
            </w:r>
          </w:p>
        </w:tc>
        <w:tc>
          <w:tcPr>
            <w:tcW w:w="160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线上通过，线下核发《企业投资项目核准批复》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numPr>
          <w:ilvl w:val="0"/>
          <w:numId w:val="0"/>
        </w:numPr>
        <w:ind w:right="0" w:rightChars="0"/>
        <w:rPr>
          <w:rStyle w:val="24"/>
          <w:rFonts w:hint="eastAsia"/>
          <w:lang w:eastAsia="zh-CN"/>
        </w:rPr>
      </w:pPr>
      <w:r>
        <w:rPr>
          <w:rFonts w:hint="eastAsia" w:ascii="仿宋" w:hAnsi="仿宋" w:eastAsia="仿宋" w:cs="仿宋"/>
          <w:color w:val="FF0000"/>
          <w:sz w:val="32"/>
          <w:szCs w:val="32"/>
        </w:rPr>
        <w:br w:type="page"/>
      </w:r>
      <w:bookmarkStart w:id="4" w:name="_Toc1992"/>
      <w:bookmarkStart w:id="5" w:name="_Toc16245"/>
      <w:r>
        <w:rPr>
          <w:rFonts w:hint="eastAsia" w:ascii="仿宋" w:hAnsi="仿宋" w:eastAsia="仿宋" w:cs="仿宋"/>
          <w:color w:val="auto"/>
          <w:sz w:val="32"/>
          <w:szCs w:val="32"/>
          <w:lang w:eastAsia="zh-CN"/>
        </w:rPr>
        <w:t>（一）</w:t>
      </w:r>
      <w:r>
        <w:rPr>
          <w:rFonts w:hint="eastAsia" w:ascii="黑体" w:hAnsi="黑体" w:eastAsia="黑体" w:cs="黑体"/>
          <w:sz w:val="32"/>
          <w:szCs w:val="32"/>
        </w:rPr>
        <w:t>企业投资项目</w:t>
      </w:r>
      <w:r>
        <w:rPr>
          <w:rFonts w:hint="eastAsia" w:ascii="黑体" w:hAnsi="黑体" w:eastAsia="黑体" w:cs="黑体"/>
          <w:sz w:val="32"/>
          <w:szCs w:val="32"/>
          <w:lang w:eastAsia="zh-CN"/>
        </w:rPr>
        <w:t>备案</w:t>
      </w:r>
    </w:p>
    <w:bookmarkEnd w:id="4"/>
    <w:bookmarkEnd w:id="5"/>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企业投资项目</w:t>
      </w:r>
      <w:r>
        <w:rPr>
          <w:rFonts w:hint="eastAsia" w:ascii="宋体" w:hAnsi="宋体" w:eastAsia="宋体" w:cs="宋体"/>
          <w:b w:val="0"/>
          <w:bCs w:val="0"/>
          <w:sz w:val="28"/>
          <w:szCs w:val="28"/>
          <w:lang w:eastAsia="zh-CN"/>
        </w:rPr>
        <w:t>备案，下放至县</w:t>
      </w:r>
      <w:r>
        <w:rPr>
          <w:rFonts w:hint="eastAsia" w:ascii="宋体" w:hAnsi="宋体" w:eastAsia="宋体" w:cs="宋体"/>
          <w:sz w:val="28"/>
          <w:szCs w:val="28"/>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行政</w:t>
      </w:r>
      <w:r>
        <w:rPr>
          <w:rFonts w:hint="eastAsia" w:ascii="仿宋" w:hAnsi="仿宋" w:eastAsia="仿宋" w:cs="仿宋"/>
          <w:color w:val="auto"/>
          <w:sz w:val="32"/>
          <w:szCs w:val="32"/>
          <w:lang w:eastAsia="zh-CN"/>
        </w:rPr>
        <w:t>权利</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w:t>
      </w:r>
      <w:r>
        <w:rPr>
          <w:rFonts w:hint="eastAsia" w:ascii="仿宋" w:hAnsi="仿宋" w:eastAsia="仿宋" w:cs="仿宋"/>
          <w:color w:val="auto"/>
          <w:sz w:val="32"/>
          <w:szCs w:val="32"/>
          <w:lang w:eastAsia="zh-CN"/>
        </w:rPr>
        <w:t>二楼上饶市发展和改革委员会窗口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依据《江西省人民政府令》第236号《江西省企业投资项目核准和备案管理办法》中第三章项目备案第二十四条 实行备案管理的项目，企业应当在开工建设前通过在线审批监管平台将下列信息告知备案机关，并对备案项目信息的真实性负责：（一）企业基本情况；（二）项目名称、建设地点、建设规模、建设内容；（三）项目总投资额；（四）项目符合产业政策的声明</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符合《企业投资项目核准和备案管理条例》（国务院令第673号）、《企业投资项目核准和备案管理办法》（国家发改委令2017年 第2号）的要求，申请材料齐全、符合法定形式，或者申请人按要求提交全部补充申请材料，即可办理。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kern w:val="0"/>
                <w:sz w:val="28"/>
                <w:szCs w:val="28"/>
                <w:lang w:val="en-US" w:eastAsia="zh-CN" w:bidi="ar"/>
              </w:rPr>
              <w:t>将企业和项目基本信息在江西省投资项目在线监管平台登记备案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真实有效</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即办</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4"/>
        <w:bidi w:val="0"/>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bookmarkEnd w:id="0"/>
    <w:bookmarkEnd w:id="1"/>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6" w:name="_Toc11201"/>
      <w:bookmarkStart w:id="7" w:name="_Toc23366"/>
      <w:r>
        <w:rPr>
          <w:rFonts w:hint="eastAsia" w:ascii="黑体" w:hAnsi="黑体" w:eastAsia="黑体" w:cs="黑体"/>
          <w:sz w:val="32"/>
          <w:szCs w:val="32"/>
          <w:lang w:eastAsia="zh-CN"/>
        </w:rPr>
        <w:t>二、</w:t>
      </w:r>
      <w:r>
        <w:rPr>
          <w:rFonts w:hint="eastAsia" w:ascii="黑体" w:hAnsi="黑体" w:eastAsia="黑体" w:cs="黑体"/>
          <w:sz w:val="32"/>
          <w:szCs w:val="32"/>
        </w:rPr>
        <w:t>建设用地规划许可证核发</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建设用地（含临时用地）规划许可证核发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三十八</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进行建设需要申请用地的，必须持国家批准建设项目的有关文件，向城市规划行政主管部门申请定点，由城市规划行政主管部门核定其用地位置和界限，提供规划设计条件，核发建设用地规划许可证。建设单位或者个人在取得建设用地规划许可证后，方可向县级以上地方人民政府土地管理部门申请用地，经县级以上人民政府审查批准后，由土地管理部门划拨土地。</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1：以划拨方式取得土地使用权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发改委出具的项目立项批复文件或可研报告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建设项目用地预审与选址意见书，规划设计条件和用地红线图（红线图需提供电子版）。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土地利用现状图。若地类涉及占用林地，需提供《使用林地审核同意书》。（新增建设用地需提供）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宗地平面图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原份4件</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权属调查证明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征收土地协议（新增建设用地）、拆迁协议（存量建设用地）。</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征地、拆迁款的付款凭证或收款人的收款票据。</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企业营业执照或行政单位组织机构代码证、法人代表证、法人身份证。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复印件各一份，加盖单位公章，注明与原件一致</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用地范围内征地拆迁全部到位，拆迁未到位，不予办理。</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土壤污染状况调查。（商住、教育、医疗、养老等项目需要做调查）</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项目涉及教育设施用地、体育设施用地、公共文化设施用地、医疗卫生设施用地、社会福利设施用地，非营利性的符合划拨供地目录，用地单位需提供行业主管部门的审批意见。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相应行业主管部门的审批意见</w:t>
            </w:r>
          </w:p>
        </w:tc>
      </w:tr>
    </w:tbl>
    <w:p>
      <w:pPr>
        <w:pStyle w:val="23"/>
        <w:numPr>
          <w:ilvl w:val="0"/>
          <w:numId w:val="0"/>
        </w:numPr>
        <w:ind w:leftChars="0"/>
        <w:rPr>
          <w:rFonts w:hint="eastAsia" w:ascii="仿宋" w:hAnsi="仿宋" w:eastAsia="仿宋" w:cs="仿宋"/>
          <w:sz w:val="32"/>
          <w:szCs w:val="32"/>
          <w:lang w:eastAsia="zh-CN"/>
        </w:rPr>
      </w:pP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2：以出让方式取得的土地使用权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建设项目批（核）准、备案文件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项目四至范围（附图）、用地权属及拆迁情况</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国有建设用地使用权出让合同</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建设项目用地预审与选址意见书</w:t>
            </w:r>
            <w:r>
              <w:rPr>
                <w:rFonts w:hint="default" w:ascii="仿宋" w:hAnsi="仿宋" w:eastAsia="仿宋" w:cs="仿宋"/>
                <w:color w:val="000000"/>
                <w:sz w:val="32"/>
                <w:szCs w:val="32"/>
                <w:lang w:val="en-US"/>
              </w:rPr>
              <w:t>(</w:t>
            </w:r>
            <w:r>
              <w:rPr>
                <w:rFonts w:hint="eastAsia" w:ascii="仿宋" w:hAnsi="仿宋" w:eastAsia="仿宋" w:cs="仿宋"/>
                <w:color w:val="000000"/>
                <w:sz w:val="32"/>
                <w:szCs w:val="32"/>
                <w:lang w:val="en-US" w:eastAsia="zh-CN"/>
              </w:rPr>
              <w:t>新增建设用地需提交）</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firstLine="800" w:firstLineChars="250"/>
              <w:jc w:val="both"/>
              <w:rPr>
                <w:rFonts w:hint="eastAsia" w:ascii="仿宋" w:hAnsi="仿宋" w:eastAsia="仿宋" w:cs="仿宋"/>
                <w:color w:val="FF0000"/>
                <w:kern w:val="2"/>
                <w:sz w:val="32"/>
                <w:szCs w:val="32"/>
                <w:lang w:eastAsia="zh-CN" w:bidi="ar"/>
              </w:rPr>
            </w:pPr>
            <w:r>
              <w:rPr>
                <w:rFonts w:hint="eastAsia" w:ascii="仿宋" w:hAnsi="仿宋" w:eastAsia="仿宋" w:cs="仿宋"/>
                <w:color w:val="auto"/>
                <w:kern w:val="2"/>
                <w:sz w:val="32"/>
                <w:szCs w:val="32"/>
                <w:lang w:val="en-US" w:eastAsia="zh-CN" w:bidi="ar"/>
              </w:rPr>
              <w:t>复印件一份</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核发《建设用地规划许可证》；申请不符合法定条件的，上饶市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ind w:right="50" w:rightChars="0"/>
        <w:rPr>
          <w:rFonts w:hint="eastAsia" w:ascii="仿宋" w:hAnsi="仿宋" w:eastAsia="仿宋" w:cs="仿宋"/>
          <w:szCs w:val="32"/>
        </w:rPr>
      </w:pPr>
      <w:bookmarkStart w:id="8" w:name="_Toc20975"/>
      <w:bookmarkStart w:id="9" w:name="_Toc30924"/>
      <w:r>
        <w:rPr>
          <w:rFonts w:hint="eastAsia" w:ascii="黑体" w:hAnsi="黑体" w:eastAsia="黑体" w:cs="黑体"/>
          <w:sz w:val="32"/>
          <w:szCs w:val="32"/>
          <w:lang w:eastAsia="zh-CN"/>
        </w:rPr>
        <w:t>三</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8"/>
      <w:bookmarkEnd w:id="9"/>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10" w:name="_Toc26688"/>
      <w:bookmarkStart w:id="11" w:name="_Toc9521"/>
      <w:r>
        <w:rPr>
          <w:rStyle w:val="24"/>
          <w:rFonts w:hint="eastAsia" w:ascii="黑体" w:hAnsi="黑体" w:eastAsia="黑体" w:cs="黑体"/>
          <w:sz w:val="32"/>
          <w:szCs w:val="32"/>
          <w:lang w:val="en-US" w:eastAsia="zh-CN"/>
        </w:rPr>
        <w:t>四、</w:t>
      </w:r>
      <w:r>
        <w:rPr>
          <w:rStyle w:val="24"/>
          <w:rFonts w:hint="eastAsia" w:ascii="黑体" w:hAnsi="黑体" w:eastAsia="黑体" w:cs="黑体"/>
          <w:sz w:val="32"/>
          <w:szCs w:val="32"/>
        </w:rPr>
        <w:t>涉及国家安全事项的建设项目审批</w:t>
      </w:r>
      <w:bookmarkEnd w:id="10"/>
      <w:bookmarkEnd w:id="1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仿宋" w:hAnsi="仿宋" w:eastAsia="仿宋" w:cs="仿宋"/>
          <w:color w:val="FF0000"/>
          <w:sz w:val="32"/>
          <w:szCs w:val="32"/>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第二阶段（工程建设许可阶段）办理事项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.应建防空地下室的民用建筑项目报建审批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6.危险化学品生产、储存建设项目安全审查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7.临时占用林地审批</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4"/>
        <w:bidi w:val="0"/>
        <w:jc w:val="both"/>
        <w:rPr>
          <w:rFonts w:hint="eastAsia" w:ascii="黑体" w:hAnsi="黑体" w:eastAsia="黑体" w:cs="黑体"/>
          <w:color w:val="FF0000"/>
          <w:sz w:val="32"/>
          <w:szCs w:val="32"/>
        </w:rPr>
      </w:pPr>
      <w:bookmarkStart w:id="12" w:name="_Toc26787"/>
      <w:bookmarkStart w:id="13" w:name="_Toc25798"/>
      <w:bookmarkStart w:id="14" w:name="_Toc9736"/>
      <w:bookmarkStart w:id="15" w:name="_Toc21954"/>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应建防空地下室的民用建筑项目报建审批</w:t>
      </w:r>
      <w:bookmarkEnd w:id="12"/>
      <w:bookmarkEnd w:id="1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lang w:eastAsia="zh-CN"/>
        </w:rPr>
      </w:pPr>
    </w:p>
    <w:p>
      <w:pPr>
        <w:rPr>
          <w:rStyle w:val="24"/>
          <w:rFonts w:hint="eastAsia" w:ascii="黑体" w:hAnsi="黑体" w:eastAsia="黑体" w:cs="黑体"/>
          <w:sz w:val="32"/>
          <w:szCs w:val="32"/>
          <w:lang w:eastAsia="zh-CN"/>
        </w:r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bookmarkEnd w:id="14"/>
      <w:bookmarkEnd w:id="1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rPr>
      </w:pPr>
      <w:bookmarkStart w:id="16" w:name="_Toc2904"/>
      <w:bookmarkStart w:id="17" w:name="_Toc30407"/>
      <w:r>
        <w:rPr>
          <w:rFonts w:hint="eastAsia" w:ascii="黑体" w:hAnsi="黑体" w:eastAsia="黑体" w:cs="黑体"/>
          <w:sz w:val="32"/>
          <w:szCs w:val="32"/>
          <w:lang w:eastAsia="zh-CN"/>
        </w:rPr>
        <w:t>三、</w:t>
      </w:r>
      <w:r>
        <w:rPr>
          <w:rFonts w:hint="eastAsia" w:ascii="黑体" w:hAnsi="黑体" w:eastAsia="黑体" w:cs="黑体"/>
          <w:sz w:val="32"/>
          <w:szCs w:val="32"/>
        </w:rPr>
        <w:t>超限高层建筑工程抗震设防审批</w:t>
      </w:r>
      <w:bookmarkEnd w:id="16"/>
      <w:bookmarkEnd w:id="1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8" w:name="_Toc11707"/>
      <w:bookmarkStart w:id="19" w:name="_Toc8968"/>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金属冶炼建设项目安全设施设计审查</w:t>
      </w:r>
      <w:bookmarkEnd w:id="18"/>
      <w:bookmarkEnd w:id="1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20" w:name="_Toc17459"/>
      <w:bookmarkStart w:id="21" w:name="_Toc12328"/>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河道管理范围内建设项目工程建设方案审批</w:t>
      </w:r>
      <w:bookmarkEnd w:id="20"/>
      <w:bookmarkEnd w:id="2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rFonts w:hint="eastAsia" w:ascii="黑体" w:hAnsi="黑体" w:eastAsia="黑体" w:cs="黑体"/>
          <w:color w:val="C00000"/>
          <w:sz w:val="32"/>
          <w:szCs w:val="32"/>
        </w:rPr>
      </w:pPr>
      <w:bookmarkStart w:id="22" w:name="_Toc24341"/>
      <w:bookmarkStart w:id="23" w:name="_Toc249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危险化学品生产、储存建设项目安全审查</w:t>
      </w:r>
      <w:bookmarkEnd w:id="22"/>
      <w:bookmarkEnd w:id="23"/>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3"/>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4" w:name="_Toc10655"/>
      <w:bookmarkStart w:id="25" w:name="_Toc22505"/>
      <w:r>
        <w:rPr>
          <w:rFonts w:hint="eastAsia" w:ascii="黑体" w:hAnsi="黑体" w:eastAsia="黑体" w:cs="黑体"/>
          <w:sz w:val="32"/>
          <w:szCs w:val="32"/>
          <w:lang w:eastAsia="zh-CN"/>
        </w:rPr>
        <w:t>六、</w:t>
      </w:r>
      <w:r>
        <w:rPr>
          <w:rFonts w:hint="eastAsia" w:ascii="黑体" w:hAnsi="黑体" w:eastAsia="黑体" w:cs="黑体"/>
          <w:sz w:val="32"/>
          <w:szCs w:val="32"/>
        </w:rPr>
        <w:t>临时占用林地审批</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.建设工程消防设计审查</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.建筑工程施工许可证核发</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.人民防空工程质量监督手续办理（可以与施工许可证合并办理）</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6.城镇污水排入排水管网许可</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黑体" w:hAnsi="黑体" w:eastAsia="黑体" w:cs="黑体"/>
          <w:sz w:val="32"/>
          <w:szCs w:val="32"/>
        </w:rPr>
      </w:pPr>
      <w:bookmarkStart w:id="26" w:name="_Toc9272"/>
      <w:bookmarkStart w:id="27" w:name="_Toc20438"/>
      <w:r>
        <w:rPr>
          <w:rFonts w:hint="eastAsia" w:ascii="黑体" w:hAnsi="黑体" w:eastAsia="黑体" w:cs="黑体"/>
          <w:sz w:val="32"/>
          <w:szCs w:val="32"/>
          <w:lang w:eastAsia="zh-CN"/>
        </w:rPr>
        <w:t>一、</w:t>
      </w:r>
      <w:r>
        <w:rPr>
          <w:rFonts w:hint="eastAsia" w:ascii="黑体" w:hAnsi="黑体" w:eastAsia="黑体" w:cs="黑体"/>
          <w:sz w:val="32"/>
          <w:szCs w:val="32"/>
        </w:rPr>
        <w:t>建设工程消防设计审查</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C00000"/>
          <w:spacing w:val="0"/>
          <w:sz w:val="32"/>
          <w:szCs w:val="32"/>
          <w:shd w:val="clear" w:color="auto" w:fill="FFFFFF"/>
        </w:rPr>
      </w:pP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8" w:name="_Toc13157"/>
      <w:bookmarkStart w:id="29" w:name="_Toc22518"/>
      <w:r>
        <w:rPr>
          <w:rFonts w:hint="eastAsia" w:ascii="黑体" w:hAnsi="黑体" w:eastAsia="黑体" w:cs="黑体"/>
          <w:sz w:val="32"/>
          <w:szCs w:val="32"/>
          <w:lang w:eastAsia="zh-CN"/>
        </w:rPr>
        <w:t>二、</w:t>
      </w:r>
      <w:r>
        <w:rPr>
          <w:rFonts w:hint="eastAsia" w:ascii="黑体" w:hAnsi="黑体" w:eastAsia="黑体" w:cs="黑体"/>
          <w:sz w:val="32"/>
          <w:szCs w:val="32"/>
        </w:rPr>
        <w:t>建筑工程施工许可证核发</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30" w:name="_Toc14408"/>
      <w:bookmarkStart w:id="31" w:name="_Toc20796"/>
    </w:p>
    <w:p>
      <w:pPr>
        <w:pStyle w:val="4"/>
        <w:bidi w:val="0"/>
        <w:ind w:right="-54" w:righ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人民防空工程质量监督手续办理（可以与施工许可证合并办理）</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人民防空工程质量监督手续办理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030303"/>
          <w:spacing w:val="0"/>
          <w:sz w:val="32"/>
          <w:szCs w:val="32"/>
          <w:shd w:val="clear" w:color="auto" w:fill="FFFFFF"/>
        </w:rPr>
        <w:t>《建设工程质量管理条例》第十三条 建设单位在领取施工许可证或者开工报告前，应当按照国家有关规定办理工程质量监督手续。第四十六条第一款 建设工程质量监督管理，可以由建设行政主管部门或者其他有关部门委托的建设工程质量监督机构具体实施。</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江西省人防工程质量监督注册登记表</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A4规格纸张打印，各项内容填写清晰、明了，与实际情况一致，加盖建设单位公章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人防工程审批文件</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eastAsia="仿宋_GB2312"/>
                <w:sz w:val="28"/>
                <w:szCs w:val="28"/>
                <w:lang w:eastAsia="zh-CN"/>
              </w:rPr>
            </w:pPr>
            <w:r>
              <w:rPr>
                <w:rFonts w:hint="eastAsia" w:eastAsia="仿宋_GB2312"/>
                <w:sz w:val="28"/>
                <w:szCs w:val="28"/>
                <w:lang w:eastAsia="zh-CN"/>
              </w:rPr>
              <w:t>人防工程施工图审查意见</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A4规格打印，具备房屋建筑（市政基础设施）工程和人防工程施工图设计文件审查资格机构名单的机构出具的文件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人防工程施工图</w:t>
            </w:r>
            <w:r>
              <w:rPr>
                <w:rFonts w:hint="eastAsia" w:ascii="仿宋" w:hAnsi="仿宋" w:eastAsia="仿宋" w:cs="仿宋"/>
                <w:sz w:val="32"/>
                <w:szCs w:val="32"/>
                <w:lang w:eastAsia="zh-CN"/>
              </w:rPr>
              <w:t>全套图纸</w:t>
            </w:r>
            <w:r>
              <w:rPr>
                <w:rFonts w:hint="eastAsia" w:ascii="仿宋" w:hAnsi="仿宋" w:eastAsia="仿宋" w:cs="仿宋"/>
                <w:sz w:val="32"/>
                <w:szCs w:val="32"/>
              </w:rPr>
              <w:t>（</w:t>
            </w:r>
            <w:r>
              <w:rPr>
                <w:rFonts w:hint="eastAsia" w:ascii="仿宋" w:hAnsi="仿宋" w:eastAsia="仿宋" w:cs="仿宋"/>
                <w:sz w:val="32"/>
                <w:szCs w:val="32"/>
                <w:lang w:eastAsia="zh-CN"/>
              </w:rPr>
              <w:t>建筑战时、结构墙体、通风战时、给排水战时、电气战时动力</w:t>
            </w:r>
            <w:r>
              <w:rPr>
                <w:rFonts w:hint="eastAsia" w:ascii="仿宋" w:hAnsi="仿宋" w:eastAsia="仿宋" w:cs="仿宋"/>
                <w:sz w:val="32"/>
                <w:szCs w:val="32"/>
                <w:lang w:val="en-US" w:eastAsia="zh-CN"/>
              </w:rPr>
              <w:t>/配电</w:t>
            </w:r>
            <w:r>
              <w:rPr>
                <w:rFonts w:hint="eastAsia" w:ascii="仿宋" w:hAnsi="仿宋" w:eastAsia="仿宋" w:cs="仿宋"/>
                <w:sz w:val="32"/>
                <w:szCs w:val="32"/>
              </w:rPr>
              <w:t>平面图）</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电子版</w:t>
            </w:r>
            <w:r>
              <w:rPr>
                <w:rFonts w:hint="eastAsia" w:ascii="仿宋" w:hAnsi="仿宋" w:eastAsia="仿宋" w:cs="仿宋"/>
                <w:sz w:val="32"/>
                <w:szCs w:val="32"/>
                <w:lang w:val="en-US" w:eastAsia="zh-CN"/>
              </w:rPr>
              <w:t>PDF文件盖有设计单位出图章和审图机构章全套图</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人防监理（专项）合同</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监理单位资质证书</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施工单位和项目负责人资料</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复印件加盖建设单位公章（如该项目注册登记时未办理施工许可证，施工单位资料于施工许可证办理完毕或监督交底时补充）</w:t>
            </w:r>
          </w:p>
        </w:tc>
      </w:tr>
    </w:tbl>
    <w:p>
      <w:pPr>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rPr>
          <w:rFonts w:hint="eastAsia"/>
        </w:rPr>
      </w:pPr>
    </w:p>
    <w:p>
      <w:pPr>
        <w:pStyle w:val="4"/>
        <w:rPr>
          <w:rFonts w:hint="eastAsia"/>
        </w:rPr>
      </w:pPr>
    </w:p>
    <w:p>
      <w:pPr>
        <w:pStyle w:val="4"/>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32" w:name="_Toc954"/>
      <w:bookmarkStart w:id="33" w:name="_Toc7716"/>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第四阶段（竣工验收阶段）办理事项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4" w:name="_Toc18724"/>
      <w:bookmarkStart w:id="35" w:name="_Toc3008"/>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4"/>
      <w:bookmarkEnd w:id="3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bookmarkStart w:id="58" w:name="_GoBack"/>
            <w:bookmarkEnd w:id="58"/>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6" w:name="_Toc3162"/>
      <w:bookmarkStart w:id="37"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6"/>
      <w:bookmarkEnd w:id="3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8" w:name="_Toc10595"/>
      <w:bookmarkStart w:id="39" w:name="_Toc10084"/>
      <w:r>
        <w:rPr>
          <w:rStyle w:val="24"/>
          <w:rFonts w:hint="eastAsia" w:ascii="黑体" w:hAnsi="黑体" w:eastAsia="黑体" w:cs="黑体"/>
          <w:sz w:val="32"/>
          <w:szCs w:val="32"/>
        </w:rPr>
        <w:t>二、雷电防护装置竣工验收</w:t>
      </w:r>
      <w:bookmarkEnd w:id="38"/>
      <w:bookmarkEnd w:id="39"/>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（二）可在第一、二、三阶段并联或并行办理事项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仿宋" w:hAnsi="仿宋" w:eastAsia="仿宋" w:cs="仿宋"/>
          <w:sz w:val="32"/>
          <w:szCs w:val="32"/>
        </w:rPr>
      </w:pPr>
      <w:bookmarkStart w:id="40" w:name="_Toc3096"/>
      <w:bookmarkStart w:id="41" w:name="_Toc15456"/>
      <w:r>
        <w:rPr>
          <w:rStyle w:val="24"/>
          <w:rFonts w:hint="eastAsia" w:ascii="黑体" w:hAnsi="黑体" w:eastAsia="黑体" w:cs="黑体"/>
          <w:sz w:val="32"/>
          <w:szCs w:val="32"/>
          <w:lang w:val="en-US" w:eastAsia="zh-CN"/>
        </w:rPr>
        <w:t>一、</w:t>
      </w:r>
      <w:r>
        <w:rPr>
          <w:rStyle w:val="24"/>
          <w:rFonts w:hint="eastAsia" w:ascii="黑体" w:hAnsi="黑体" w:eastAsia="黑体" w:cs="黑体"/>
          <w:sz w:val="32"/>
          <w:szCs w:val="32"/>
        </w:rPr>
        <w:t>建设项目环境影响评价审批</w:t>
      </w:r>
      <w:bookmarkEnd w:id="40"/>
      <w:bookmarkEnd w:id="4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5"/>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2" w:name="_Toc30508"/>
      <w:bookmarkStart w:id="43" w:name="_Toc8198"/>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江河、湖泊新建、改建或者扩大排污口审核</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4" w:name="_Toc9201"/>
      <w:bookmarkStart w:id="45" w:name="_Toc666"/>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在宗教活动场所内改建或者新建建筑物审批</w:t>
      </w:r>
      <w:bookmarkEnd w:id="44"/>
      <w:bookmarkEnd w:id="4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rPr>
          <w:rFonts w:hint="eastAsia" w:ascii="黑体" w:hAnsi="黑体" w:eastAsia="黑体" w:cs="黑体"/>
          <w:color w:val="FF0000"/>
          <w:sz w:val="32"/>
          <w:szCs w:val="32"/>
        </w:rPr>
      </w:pPr>
      <w:bookmarkStart w:id="46" w:name="_Toc23531"/>
      <w:bookmarkStart w:id="47" w:name="_Toc1330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6"/>
      <w:bookmarkEnd w:id="4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48" w:name="_Toc29519"/>
      <w:bookmarkStart w:id="49" w:name="_Toc26979"/>
      <w:r>
        <w:rPr>
          <w:rFonts w:hint="eastAsia" w:ascii="黑体" w:hAnsi="黑体" w:eastAsia="黑体" w:cs="黑体"/>
          <w:sz w:val="32"/>
          <w:szCs w:val="32"/>
          <w:lang w:eastAsia="zh-CN"/>
        </w:rPr>
        <w:t>五、</w:t>
      </w:r>
      <w:r>
        <w:rPr>
          <w:rFonts w:hint="eastAsia" w:ascii="黑体" w:hAnsi="黑体" w:eastAsia="黑体" w:cs="黑体"/>
          <w:sz w:val="32"/>
          <w:szCs w:val="32"/>
        </w:rPr>
        <w:t>取水许可（含取水权转让、取水计划与调整审批)</w:t>
      </w:r>
      <w:bookmarkEnd w:id="48"/>
      <w:bookmarkEnd w:id="4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50" w:name="_Toc30147"/>
      <w:bookmarkStart w:id="51" w:name="_Toc144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生产建设项目水土保持方案审批</w:t>
      </w:r>
      <w:bookmarkEnd w:id="50"/>
      <w:bookmarkEnd w:id="5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52" w:name="_Toc25671"/>
      <w:bookmarkStart w:id="53" w:name="_Toc6295"/>
      <w:r>
        <w:rPr>
          <w:rStyle w:val="24"/>
          <w:rFonts w:hint="eastAsia" w:ascii="黑体" w:hAnsi="黑体" w:eastAsia="黑体" w:cs="黑体"/>
          <w:sz w:val="32"/>
          <w:szCs w:val="32"/>
          <w:lang w:eastAsia="zh-CN"/>
        </w:rPr>
        <w:t>七、</w:t>
      </w:r>
      <w:bookmarkEnd w:id="52"/>
      <w:bookmarkEnd w:id="53"/>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4" w:name="_Toc6175"/>
      <w:bookmarkStart w:id="55" w:name="_Toc29663"/>
      <w:r>
        <w:rPr>
          <w:rFonts w:hint="eastAsia" w:ascii="黑体" w:hAnsi="黑体" w:eastAsia="黑体" w:cs="黑体"/>
          <w:sz w:val="32"/>
          <w:szCs w:val="32"/>
          <w:lang w:eastAsia="zh-CN"/>
        </w:rPr>
        <w:t>八、</w:t>
      </w:r>
      <w:r>
        <w:rPr>
          <w:rFonts w:hint="eastAsia" w:ascii="黑体" w:hAnsi="黑体" w:eastAsia="黑体" w:cs="黑体"/>
          <w:sz w:val="32"/>
          <w:szCs w:val="32"/>
        </w:rPr>
        <w:t>市政设施建设类审批</w:t>
      </w:r>
      <w:bookmarkEnd w:id="54"/>
      <w:bookmarkEnd w:id="55"/>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8"/>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8"/>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9"/>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1"/>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6" w:name="_Toc10687"/>
      <w:bookmarkStart w:id="57" w:name="_Toc31057"/>
      <w:r>
        <w:rPr>
          <w:rFonts w:hint="eastAsia" w:ascii="黑体" w:hAnsi="黑体" w:eastAsia="黑体" w:cs="黑体"/>
          <w:sz w:val="32"/>
          <w:szCs w:val="32"/>
          <w:lang w:eastAsia="zh-CN"/>
        </w:rPr>
        <w:t>九、</w:t>
      </w:r>
      <w:r>
        <w:rPr>
          <w:rFonts w:hint="eastAsia" w:ascii="黑体" w:hAnsi="黑体" w:eastAsia="黑体" w:cs="黑体"/>
          <w:sz w:val="32"/>
          <w:szCs w:val="32"/>
        </w:rPr>
        <w:t>改变绿化规划、绿化用地的使用性质审批</w:t>
      </w:r>
      <w:bookmarkEnd w:id="56"/>
      <w:bookmarkEnd w:id="5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p>
      <w:pPr>
        <w:pStyle w:val="2"/>
        <w:ind w:left="0" w:leftChars="0" w:firstLine="0" w:firstLineChars="0"/>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C635E6C5"/>
    <w:multiLevelType w:val="singleLevel"/>
    <w:tmpl w:val="C635E6C5"/>
    <w:lvl w:ilvl="0" w:tentative="0">
      <w:start w:val="9"/>
      <w:numFmt w:val="decimal"/>
      <w:suff w:val="nothing"/>
      <w:lvlText w:val="%1、"/>
      <w:lvlJc w:val="left"/>
    </w:lvl>
  </w:abstractNum>
  <w:abstractNum w:abstractNumId="4">
    <w:nsid w:val="DE83D039"/>
    <w:multiLevelType w:val="singleLevel"/>
    <w:tmpl w:val="DE83D039"/>
    <w:lvl w:ilvl="0" w:tentative="0">
      <w:start w:val="13"/>
      <w:numFmt w:val="decimal"/>
      <w:suff w:val="nothing"/>
      <w:lvlText w:val="%1、"/>
      <w:lvlJc w:val="left"/>
    </w:lvl>
  </w:abstractNum>
  <w:abstractNum w:abstractNumId="5">
    <w:nsid w:val="DF131D3B"/>
    <w:multiLevelType w:val="singleLevel"/>
    <w:tmpl w:val="DF131D3B"/>
    <w:lvl w:ilvl="0" w:tentative="0">
      <w:start w:val="2"/>
      <w:numFmt w:val="decimal"/>
      <w:suff w:val="nothing"/>
      <w:lvlText w:val="%1、"/>
      <w:lvlJc w:val="left"/>
    </w:lvl>
  </w:abstractNum>
  <w:abstractNum w:abstractNumId="6">
    <w:nsid w:val="11B4BCE3"/>
    <w:multiLevelType w:val="singleLevel"/>
    <w:tmpl w:val="11B4BCE3"/>
    <w:lvl w:ilvl="0" w:tentative="0">
      <w:start w:val="12"/>
      <w:numFmt w:val="decimal"/>
      <w:suff w:val="nothing"/>
      <w:lvlText w:val="%1、"/>
      <w:lvlJc w:val="left"/>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8">
    <w:nsid w:val="2BE583F2"/>
    <w:multiLevelType w:val="singleLevel"/>
    <w:tmpl w:val="2BE583F2"/>
    <w:lvl w:ilvl="0" w:tentative="0">
      <w:start w:val="1"/>
      <w:numFmt w:val="decimal"/>
      <w:suff w:val="nothing"/>
      <w:lvlText w:val="%1、"/>
      <w:lvlJc w:val="left"/>
    </w:lvl>
  </w:abstractNum>
  <w:abstractNum w:abstractNumId="9">
    <w:nsid w:val="3852BC5D"/>
    <w:multiLevelType w:val="singleLevel"/>
    <w:tmpl w:val="3852BC5D"/>
    <w:lvl w:ilvl="0" w:tentative="0">
      <w:start w:val="1"/>
      <w:numFmt w:val="decimal"/>
      <w:lvlText w:val="%1)"/>
      <w:lvlJc w:val="left"/>
      <w:pPr>
        <w:ind w:left="425" w:hanging="425"/>
      </w:pPr>
      <w:rPr>
        <w:rFonts w:hint="default"/>
      </w:rPr>
    </w:lvl>
  </w:abstractNum>
  <w:abstractNum w:abstractNumId="10">
    <w:nsid w:val="5552BB7D"/>
    <w:multiLevelType w:val="singleLevel"/>
    <w:tmpl w:val="5552BB7D"/>
    <w:lvl w:ilvl="0" w:tentative="0">
      <w:start w:val="9"/>
      <w:numFmt w:val="decimal"/>
      <w:suff w:val="nothing"/>
      <w:lvlText w:val="%1、"/>
      <w:lvlJc w:val="left"/>
    </w:lvl>
  </w:abstractNum>
  <w:abstractNum w:abstractNumId="11">
    <w:nsid w:val="635478F5"/>
    <w:multiLevelType w:val="singleLevel"/>
    <w:tmpl w:val="635478F5"/>
    <w:lvl w:ilvl="0" w:tentative="0">
      <w:start w:val="12"/>
      <w:numFmt w:val="decimal"/>
      <w:suff w:val="nothing"/>
      <w:lvlText w:val="%1、"/>
      <w:lvlJc w:val="left"/>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9"/>
  </w:num>
  <w:num w:numId="8">
    <w:abstractNumId w:val="10"/>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56831EA"/>
    <w:rsid w:val="06C25836"/>
    <w:rsid w:val="11E8670F"/>
    <w:rsid w:val="18C01026"/>
    <w:rsid w:val="19FD1694"/>
    <w:rsid w:val="1F432507"/>
    <w:rsid w:val="2B12272C"/>
    <w:rsid w:val="2C1314F5"/>
    <w:rsid w:val="2CF25F4F"/>
    <w:rsid w:val="2F627883"/>
    <w:rsid w:val="36206FA2"/>
    <w:rsid w:val="36FE39A0"/>
    <w:rsid w:val="37D050DF"/>
    <w:rsid w:val="384E296A"/>
    <w:rsid w:val="3D846E90"/>
    <w:rsid w:val="48AB7B4B"/>
    <w:rsid w:val="49287E50"/>
    <w:rsid w:val="4BEF422B"/>
    <w:rsid w:val="56095F34"/>
    <w:rsid w:val="5F465B03"/>
    <w:rsid w:val="5F5056EE"/>
    <w:rsid w:val="5F965B60"/>
    <w:rsid w:val="641801FD"/>
    <w:rsid w:val="6732696D"/>
    <w:rsid w:val="6A881FA8"/>
    <w:rsid w:val="71573B9F"/>
    <w:rsid w:val="78E80E98"/>
    <w:rsid w:val="7A1C5986"/>
    <w:rsid w:val="7BA859F7"/>
    <w:rsid w:val="7BBA0FB3"/>
    <w:rsid w:val="7DED06A6"/>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192</Pages>
  <Words>55859</Words>
  <Characters>60587</Characters>
  <Lines>0</Lines>
  <Paragraphs>0</Paragraphs>
  <TotalTime>5</TotalTime>
  <ScaleCrop>false</ScaleCrop>
  <LinksUpToDate>false</LinksUpToDate>
  <CharactersWithSpaces>66780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2022-11-21T06:08:43Z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B464559D38894552B69F9B199F2694FB</vt:lpwstr>
  </property>
</Properties>
</file>