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3120" w:hanging="3120" w:hangingChars="600"/>
        <w:jc w:val="both"/>
        <w:rPr>
          <w:rFonts w:hint="eastAsia" w:ascii="黑体" w:hAnsi="黑体" w:eastAsia="黑体"/>
          <w:sz w:val="52"/>
          <w:szCs w:val="52"/>
          <w:lang w:eastAsia="zh-CN"/>
        </w:rPr>
      </w:pPr>
      <w:r>
        <w:rPr>
          <w:rFonts w:hint="eastAsia" w:ascii="黑体" w:hAnsi="黑体" w:eastAsia="黑体"/>
          <w:sz w:val="52"/>
          <w:szCs w:val="52"/>
          <w:lang w:eastAsia="zh-CN"/>
        </w:rPr>
        <w:t>社会投资简易低风险工程建设项目办事指南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第一阶段（工程建设许可和施工许可阶段）办理事项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.企业投资项目备案</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pStyle w:val="2"/>
        <w:ind w:firstLine="640" w:firstLineChars="200"/>
        <w:rPr>
          <w:rFonts w:hint="default"/>
          <w:lang w:val="en-US" w:eastAsia="zh-CN"/>
        </w:rPr>
      </w:pPr>
      <w:r>
        <w:rPr>
          <w:rFonts w:hint="eastAsia" w:ascii="仿宋_GB2312" w:eastAsia="仿宋_GB2312"/>
          <w:sz w:val="32"/>
          <w:szCs w:val="32"/>
          <w:lang w:val="en-US" w:eastAsia="zh-CN"/>
        </w:rPr>
        <w:t>3.建筑工程施工许可证核发</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28152"/>
      <w:bookmarkStart w:id="1" w:name="_Toc3844"/>
    </w:p>
    <w:p>
      <w:pPr>
        <w:numPr>
          <w:ilvl w:val="0"/>
          <w:numId w:val="0"/>
        </w:numPr>
        <w:ind w:right="0" w:rightChars="0"/>
        <w:rPr>
          <w:rFonts w:hint="eastAsia" w:ascii="仿宋" w:hAnsi="仿宋" w:eastAsia="仿宋" w:cs="仿宋"/>
          <w:color w:val="auto"/>
          <w:sz w:val="32"/>
          <w:szCs w:val="32"/>
          <w:lang w:eastAsia="zh-CN"/>
        </w:rPr>
      </w:pPr>
      <w:bookmarkStart w:id="2" w:name="_Toc1992"/>
      <w:bookmarkStart w:id="3" w:name="_Toc16245"/>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Fonts w:hint="eastAsia" w:ascii="仿宋" w:hAnsi="仿宋" w:eastAsia="仿宋" w:cs="仿宋"/>
          <w:color w:val="auto"/>
          <w:sz w:val="32"/>
          <w:szCs w:val="32"/>
          <w:lang w:eastAsia="zh-CN"/>
        </w:rPr>
      </w:pPr>
    </w:p>
    <w:p>
      <w:pPr>
        <w:numPr>
          <w:ilvl w:val="0"/>
          <w:numId w:val="0"/>
        </w:numPr>
        <w:ind w:right="0" w:rightChars="0"/>
        <w:rPr>
          <w:rStyle w:val="24"/>
          <w:rFonts w:hint="eastAsia"/>
          <w:lang w:eastAsia="zh-CN"/>
        </w:rPr>
      </w:pPr>
      <w:r>
        <w:rPr>
          <w:rFonts w:hint="eastAsia" w:ascii="仿宋" w:hAnsi="仿宋" w:eastAsia="仿宋" w:cs="仿宋"/>
          <w:color w:val="auto"/>
          <w:sz w:val="32"/>
          <w:szCs w:val="32"/>
          <w:lang w:eastAsia="zh-CN"/>
        </w:rPr>
        <w:t>一、</w:t>
      </w:r>
      <w:r>
        <w:rPr>
          <w:rFonts w:hint="eastAsia" w:ascii="黑体" w:hAnsi="黑体" w:eastAsia="黑体" w:cs="黑体"/>
          <w:sz w:val="32"/>
          <w:szCs w:val="32"/>
        </w:rPr>
        <w:t>企业投资项目</w:t>
      </w:r>
      <w:r>
        <w:rPr>
          <w:rFonts w:hint="eastAsia" w:ascii="黑体" w:hAnsi="黑体" w:eastAsia="黑体" w:cs="黑体"/>
          <w:sz w:val="32"/>
          <w:szCs w:val="32"/>
          <w:lang w:eastAsia="zh-CN"/>
        </w:rPr>
        <w:t>备案</w:t>
      </w:r>
    </w:p>
    <w:bookmarkEnd w:id="2"/>
    <w:bookmarkEnd w:id="3"/>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企业投资项目</w:t>
      </w:r>
      <w:r>
        <w:rPr>
          <w:rFonts w:hint="eastAsia" w:ascii="宋体" w:hAnsi="宋体" w:eastAsia="宋体" w:cs="宋体"/>
          <w:b w:val="0"/>
          <w:bCs w:val="0"/>
          <w:sz w:val="28"/>
          <w:szCs w:val="28"/>
          <w:lang w:eastAsia="zh-CN"/>
        </w:rPr>
        <w:t>备案，下放至县</w:t>
      </w:r>
      <w:r>
        <w:rPr>
          <w:rFonts w:hint="eastAsia" w:ascii="宋体" w:hAnsi="宋体" w:eastAsia="宋体" w:cs="宋体"/>
          <w:sz w:val="28"/>
          <w:szCs w:val="28"/>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行政</w:t>
      </w:r>
      <w:r>
        <w:rPr>
          <w:rFonts w:hint="eastAsia" w:ascii="仿宋" w:hAnsi="仿宋" w:eastAsia="仿宋" w:cs="仿宋"/>
          <w:color w:val="auto"/>
          <w:sz w:val="32"/>
          <w:szCs w:val="32"/>
          <w:lang w:eastAsia="zh-CN"/>
        </w:rPr>
        <w:t>权利</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w:t>
      </w:r>
      <w:r>
        <w:rPr>
          <w:rFonts w:hint="eastAsia" w:ascii="仿宋" w:hAnsi="仿宋" w:eastAsia="仿宋" w:cs="仿宋"/>
          <w:color w:val="auto"/>
          <w:sz w:val="32"/>
          <w:szCs w:val="32"/>
          <w:lang w:eastAsia="zh-CN"/>
        </w:rPr>
        <w:t>二楼上饶市发展和改革委员会窗口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依据《江西省人民政府令》第236号《江西省企业投资项目核准和备案管理办法》中第三章项目备案第二十四条 实行备案管理的项目，企业应当在开工建设前通过在线审批监管平台将下列信息告知备案机关，并对备案项目信息的真实性负责：（一）企业基本情况；（二）项目名称、建设地点、建设规模、建设内容；（三）项目总投资额；（四）项目符合产业政策的声明</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符合《企业投资项目核准和备案管理条例》（国务院令第673号）、《企业投资项目核准和备案管理办法》（国家发改委令2017年 第2号）的要求，申请材料齐全、符合法定形式，或者申请人按要求提交全部补充申请材料，即可办理。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kern w:val="0"/>
                <w:sz w:val="28"/>
                <w:szCs w:val="28"/>
                <w:lang w:val="en-US" w:eastAsia="zh-CN" w:bidi="ar"/>
              </w:rPr>
              <w:t>将企业和项目基本信息在江西省投资项目在线监管平台登记备案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真实有效</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即办</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4"/>
        <w:bidi w:val="0"/>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bookmarkEnd w:id="0"/>
    <w:bookmarkEnd w:id="1"/>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rPr>
          <w:rFonts w:hint="eastAsia" w:ascii="黑体" w:hAnsi="黑体" w:eastAsia="黑体" w:cs="黑体"/>
          <w:sz w:val="32"/>
          <w:szCs w:val="32"/>
        </w:rPr>
      </w:pPr>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建设工程规划许可证核发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bidi w:val="0"/>
        <w:jc w:val="both"/>
        <w:rPr>
          <w:rFonts w:hint="eastAsia"/>
          <w:lang w:val="en-US" w:eastAsia="zh-CN"/>
        </w:rPr>
      </w:pPr>
      <w:bookmarkStart w:id="4" w:name="_Toc13157"/>
      <w:bookmarkStart w:id="5" w:name="_Toc22518"/>
      <w:r>
        <w:rPr>
          <w:rFonts w:hint="eastAsia" w:ascii="黑体" w:hAnsi="黑体" w:eastAsia="黑体" w:cs="黑体"/>
          <w:sz w:val="32"/>
          <w:szCs w:val="32"/>
          <w:lang w:eastAsia="zh-CN"/>
        </w:rPr>
        <w:t>三、</w:t>
      </w:r>
      <w:r>
        <w:rPr>
          <w:rFonts w:hint="eastAsia" w:ascii="黑体" w:hAnsi="黑体" w:eastAsia="黑体" w:cs="黑体"/>
          <w:sz w:val="32"/>
          <w:szCs w:val="32"/>
        </w:rPr>
        <w:t>建筑工程施工许可证核发</w:t>
      </w:r>
      <w:bookmarkEnd w:id="4"/>
      <w:bookmarkEnd w:id="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4.改变绿化规划、绿化用地的使用性质审批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6.城镇污水排入排水管网许可</w:t>
      </w:r>
    </w:p>
    <w:p>
      <w:pPr>
        <w:pStyle w:val="2"/>
        <w:ind w:firstLine="640" w:firstLineChars="200"/>
        <w:rPr>
          <w:rFonts w:hint="eastAsia" w:ascii="仿宋_GB2312" w:eastAsia="仿宋_GB2312"/>
          <w:sz w:val="32"/>
          <w:szCs w:val="32"/>
          <w:lang w:val="en-US"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6" w:name="_Toc3008"/>
      <w:bookmarkStart w:id="7" w:name="_Toc18724"/>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6"/>
      <w:bookmarkEnd w:id="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8" w:name="_Toc3162"/>
      <w:bookmarkStart w:id="9" w:name="_Toc29470"/>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8"/>
      <w:bookmarkEnd w:id="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0" w:firstLineChars="0"/>
        <w:rPr>
          <w:rFonts w:hint="eastAsia" w:eastAsia="宋体"/>
          <w:color w:val="FF0000"/>
          <w:lang w:eastAsia="zh-CN"/>
        </w:rPr>
      </w:pPr>
    </w:p>
    <w:p>
      <w:pPr>
        <w:rPr>
          <w:rFonts w:hint="eastAsia" w:ascii="黑体" w:hAnsi="黑体" w:eastAsia="黑体" w:cs="黑体"/>
          <w:b/>
          <w:bCs/>
          <w:sz w:val="32"/>
          <w:szCs w:val="32"/>
        </w:rPr>
      </w:pPr>
      <w:bookmarkStart w:id="10" w:name="_Toc25671"/>
      <w:bookmarkStart w:id="11" w:name="_Toc6295"/>
      <w:r>
        <w:rPr>
          <w:rStyle w:val="24"/>
          <w:rFonts w:hint="eastAsia" w:ascii="黑体" w:hAnsi="黑体" w:eastAsia="黑体" w:cs="黑体"/>
          <w:sz w:val="32"/>
          <w:szCs w:val="32"/>
          <w:lang w:eastAsia="zh-CN"/>
        </w:rPr>
        <w:t>二、</w:t>
      </w:r>
      <w:bookmarkEnd w:id="10"/>
      <w:bookmarkEnd w:id="11"/>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2"/>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12" w:name="_Toc6175"/>
      <w:bookmarkStart w:id="13" w:name="_Toc29663"/>
      <w:r>
        <w:rPr>
          <w:rFonts w:hint="eastAsia" w:ascii="黑体" w:hAnsi="黑体" w:eastAsia="黑体" w:cs="黑体"/>
          <w:sz w:val="32"/>
          <w:szCs w:val="32"/>
          <w:lang w:eastAsia="zh-CN"/>
        </w:rPr>
        <w:t>三、</w:t>
      </w:r>
      <w:r>
        <w:rPr>
          <w:rFonts w:hint="eastAsia" w:ascii="黑体" w:hAnsi="黑体" w:eastAsia="黑体" w:cs="黑体"/>
          <w:sz w:val="32"/>
          <w:szCs w:val="32"/>
        </w:rPr>
        <w:t>市政设施建设类审批</w:t>
      </w:r>
      <w:bookmarkEnd w:id="12"/>
      <w:bookmarkEnd w:id="13"/>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2"/>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3"/>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3"/>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4"/>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5"/>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5"/>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6"/>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7"/>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7"/>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的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7"/>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7"/>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7"/>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7"/>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14" w:name="_Toc10687"/>
      <w:bookmarkStart w:id="15" w:name="_Toc31057"/>
      <w:r>
        <w:rPr>
          <w:rFonts w:hint="eastAsia" w:ascii="黑体" w:hAnsi="黑体" w:eastAsia="黑体" w:cs="黑体"/>
          <w:sz w:val="32"/>
          <w:szCs w:val="32"/>
          <w:lang w:eastAsia="zh-CN"/>
        </w:rPr>
        <w:t>四、</w:t>
      </w:r>
      <w:r>
        <w:rPr>
          <w:rFonts w:hint="eastAsia" w:ascii="黑体" w:hAnsi="黑体" w:eastAsia="黑体" w:cs="黑体"/>
          <w:sz w:val="32"/>
          <w:szCs w:val="32"/>
        </w:rPr>
        <w:t>改变绿化规划、绿化用地的使用性质审批</w:t>
      </w:r>
      <w:bookmarkEnd w:id="14"/>
      <w:bookmarkEnd w:id="1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2"/>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2"/>
        <w:ind w:left="0" w:leftChars="0" w:firstLine="0" w:firstLineChars="0"/>
        <w:rPr>
          <w:rFonts w:hint="eastAsia" w:eastAsia="宋体"/>
          <w:color w:val="FF0000"/>
          <w:lang w:eastAsia="zh-CN"/>
        </w:rPr>
      </w:pPr>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五、因工程建设需要拆除、 改动、迁移供水、排水与污水处理设施审核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lang w:eastAsia="zh-CN"/>
        </w:rPr>
      </w:pPr>
    </w:p>
    <w:p>
      <w:pPr>
        <w:pStyle w:val="2"/>
        <w:ind w:left="0" w:leftChars="0" w:firstLine="640" w:firstLineChars="200"/>
        <w:rPr>
          <w:rFonts w:hint="eastAsia" w:ascii="仿宋" w:hAnsi="仿宋" w:eastAsia="仿宋" w:cs="仿宋"/>
          <w:color w:val="auto"/>
          <w:sz w:val="32"/>
          <w:szCs w:val="32"/>
          <w:lang w:eastAsia="zh-CN"/>
        </w:rPr>
      </w:pPr>
    </w:p>
    <w:p>
      <w:pPr>
        <w:pStyle w:val="2"/>
        <w:ind w:left="0" w:leftChars="0" w:firstLine="640" w:firstLineChars="200"/>
        <w:rPr>
          <w:rFonts w:hint="eastAsia" w:ascii="仿宋" w:hAnsi="仿宋" w:eastAsia="仿宋" w:cs="仿宋"/>
          <w:color w:val="auto"/>
          <w:sz w:val="32"/>
          <w:szCs w:val="32"/>
          <w:lang w:eastAsia="zh-CN"/>
        </w:rPr>
      </w:pPr>
    </w:p>
    <w:p>
      <w:pPr>
        <w:pStyle w:val="2"/>
        <w:ind w:left="0" w:leftChars="0" w:firstLine="0" w:firstLineChars="0"/>
        <w:rPr>
          <w:rFonts w:hint="eastAsia" w:ascii="仿宋" w:hAnsi="仿宋" w:eastAsia="仿宋" w:cs="仿宋"/>
          <w:color w:val="auto"/>
          <w:sz w:val="32"/>
          <w:szCs w:val="32"/>
          <w:lang w:eastAsia="zh-CN"/>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六</w:t>
      </w:r>
      <w:bookmarkStart w:id="16" w:name="_GoBack"/>
      <w:bookmarkEnd w:id="16"/>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2"/>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794F9"/>
    <w:multiLevelType w:val="singleLevel"/>
    <w:tmpl w:val="C0C794F9"/>
    <w:lvl w:ilvl="0" w:tentative="0">
      <w:start w:val="2"/>
      <w:numFmt w:val="decimal"/>
      <w:lvlText w:val="%1."/>
      <w:lvlJc w:val="left"/>
      <w:pPr>
        <w:tabs>
          <w:tab w:val="left" w:pos="312"/>
        </w:tabs>
      </w:pPr>
    </w:lvl>
  </w:abstractNum>
  <w:abstractNum w:abstractNumId="1">
    <w:nsid w:val="C105203D"/>
    <w:multiLevelType w:val="singleLevel"/>
    <w:tmpl w:val="C105203D"/>
    <w:lvl w:ilvl="0" w:tentative="0">
      <w:start w:val="16"/>
      <w:numFmt w:val="decimal"/>
      <w:suff w:val="nothing"/>
      <w:lvlText w:val="%1、"/>
      <w:lvlJc w:val="left"/>
    </w:lvl>
  </w:abstractNum>
  <w:abstractNum w:abstractNumId="2">
    <w:nsid w:val="DF131D3B"/>
    <w:multiLevelType w:val="singleLevel"/>
    <w:tmpl w:val="DF131D3B"/>
    <w:lvl w:ilvl="0" w:tentative="0">
      <w:start w:val="2"/>
      <w:numFmt w:val="decimal"/>
      <w:suff w:val="nothing"/>
      <w:lvlText w:val="%1、"/>
      <w:lvlJc w:val="left"/>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4">
    <w:nsid w:val="2BE583F2"/>
    <w:multiLevelType w:val="singleLevel"/>
    <w:tmpl w:val="2BE583F2"/>
    <w:lvl w:ilvl="0" w:tentative="0">
      <w:start w:val="1"/>
      <w:numFmt w:val="decimal"/>
      <w:suff w:val="nothing"/>
      <w:lvlText w:val="%1、"/>
      <w:lvlJc w:val="left"/>
    </w:lvl>
  </w:abstractNum>
  <w:abstractNum w:abstractNumId="5">
    <w:nsid w:val="5552BB7D"/>
    <w:multiLevelType w:val="singleLevel"/>
    <w:tmpl w:val="5552BB7D"/>
    <w:lvl w:ilvl="0" w:tentative="0">
      <w:start w:val="9"/>
      <w:numFmt w:val="decimal"/>
      <w:suff w:val="nothing"/>
      <w:lvlText w:val="%1、"/>
      <w:lvlJc w:val="left"/>
    </w:lvl>
  </w:abstractNum>
  <w:abstractNum w:abstractNumId="6">
    <w:nsid w:val="635478F5"/>
    <w:multiLevelType w:val="singleLevel"/>
    <w:tmpl w:val="635478F5"/>
    <w:lvl w:ilvl="0" w:tentative="0">
      <w:start w:val="12"/>
      <w:numFmt w:val="decimal"/>
      <w:suff w:val="nothing"/>
      <w:lvlText w:val="%1、"/>
      <w:lvlJc w:val="left"/>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jdkNTVlYjc2YTg1NjczODM4NGI0ZmU0MWQzNGUifQ=="/>
  </w:docVars>
  <w:rsids>
    <w:rsidRoot w:val="7BA859F7"/>
    <w:rsid w:val="00765478"/>
    <w:rsid w:val="03252A4B"/>
    <w:rsid w:val="03EE1CBE"/>
    <w:rsid w:val="056831EA"/>
    <w:rsid w:val="06C25836"/>
    <w:rsid w:val="0C8B56CF"/>
    <w:rsid w:val="0EFD1C24"/>
    <w:rsid w:val="11E8670F"/>
    <w:rsid w:val="18C01026"/>
    <w:rsid w:val="19FD1694"/>
    <w:rsid w:val="1F432507"/>
    <w:rsid w:val="2B12272C"/>
    <w:rsid w:val="2C1314F5"/>
    <w:rsid w:val="2CF25F4F"/>
    <w:rsid w:val="2F627883"/>
    <w:rsid w:val="36206FA2"/>
    <w:rsid w:val="36FE39A0"/>
    <w:rsid w:val="37D050DF"/>
    <w:rsid w:val="384E296A"/>
    <w:rsid w:val="3A451DB4"/>
    <w:rsid w:val="3D846E90"/>
    <w:rsid w:val="48AB7B4B"/>
    <w:rsid w:val="49287E50"/>
    <w:rsid w:val="4BEF422B"/>
    <w:rsid w:val="56095F34"/>
    <w:rsid w:val="5F465B03"/>
    <w:rsid w:val="5F5056EE"/>
    <w:rsid w:val="5F965B60"/>
    <w:rsid w:val="641801FD"/>
    <w:rsid w:val="6732696D"/>
    <w:rsid w:val="6A881FA8"/>
    <w:rsid w:val="6AFF300A"/>
    <w:rsid w:val="71573B9F"/>
    <w:rsid w:val="78E80E98"/>
    <w:rsid w:val="7A1C5986"/>
    <w:rsid w:val="7BA859F7"/>
    <w:rsid w:val="7BBA0FB3"/>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178</Pages>
  <Words>52397</Words>
  <Characters>56828</Characters>
  <Lines>0</Lines>
  <Paragraphs>0</Paragraphs>
  <TotalTime>0</TotalTime>
  <ScaleCrop>false</ScaleCrop>
  <LinksUpToDate>false</LinksUpToDate>
  <CharactersWithSpaces>62583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禾木</cp:lastModifiedBy>
  <dcterms:modified xsi:type="dcterms:W3CDTF">2022-11-21T06:03:35Z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B6AAF67F8AA24AA7878E1A8F363071A8</vt:lpwstr>
  </property>
</Properties>
</file>